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FF3C" w14:textId="4C52C993" w:rsidR="00DA4E69" w:rsidRPr="00DA4E69" w:rsidRDefault="00DA4E69" w:rsidP="00DA4E69">
      <w:pPr>
        <w:shd w:val="clear" w:color="auto" w:fill="FFFFFF"/>
        <w:spacing w:before="480" w:after="120" w:line="240" w:lineRule="auto"/>
        <w:jc w:val="center"/>
        <w:outlineLvl w:val="2"/>
        <w:rPr>
          <w:rFonts w:ascii="Times New Roman" w:eastAsia="Times New Roman" w:hAnsi="Times New Roman" w:cs="Times New Roman"/>
          <w:b/>
          <w:bCs/>
          <w:color w:val="444444"/>
          <w:sz w:val="27"/>
          <w:szCs w:val="27"/>
        </w:rPr>
      </w:pPr>
      <w:r w:rsidRPr="00DA4E69">
        <w:rPr>
          <w:rFonts w:ascii="Times New Roman" w:eastAsia="Times New Roman" w:hAnsi="Times New Roman" w:cs="Times New Roman"/>
          <w:b/>
          <w:bCs/>
          <w:color w:val="444444"/>
          <w:sz w:val="27"/>
          <w:szCs w:val="27"/>
        </w:rPr>
        <w:t>Overview of the Three Prongs</w:t>
      </w:r>
    </w:p>
    <w:p w14:paraId="5D0C84F9" w14:textId="77777777" w:rsidR="00DA4E69" w:rsidRPr="00DA4E69" w:rsidRDefault="00DA4E69" w:rsidP="00DA4E69">
      <w:pPr>
        <w:shd w:val="clear" w:color="auto" w:fill="FFFFFF"/>
        <w:spacing w:after="240" w:line="240" w:lineRule="auto"/>
        <w:rPr>
          <w:rFonts w:ascii="Times New Roman" w:eastAsia="Times New Roman" w:hAnsi="Times New Roman" w:cs="Times New Roman"/>
          <w:b/>
          <w:bCs/>
          <w:color w:val="444444"/>
          <w:sz w:val="24"/>
          <w:szCs w:val="24"/>
        </w:rPr>
      </w:pPr>
      <w:r w:rsidRPr="00DA4E69">
        <w:rPr>
          <w:rFonts w:ascii="Times New Roman" w:eastAsia="Times New Roman" w:hAnsi="Times New Roman" w:cs="Times New Roman"/>
          <w:b/>
          <w:bCs/>
          <w:i/>
          <w:iCs/>
          <w:color w:val="444444"/>
          <w:sz w:val="24"/>
          <w:szCs w:val="24"/>
        </w:rPr>
        <w:t>First Prong: The Proposed Endeavor has both Substantial Merit and National Importance</w:t>
      </w:r>
    </w:p>
    <w:p w14:paraId="44563F0A"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When reviewing the proposed endeavor, officers determine whether the evidence presented demonstrates, by a preponderance of the evidence, the proposed endeavor has substantial merit and national importance. The term “endeavor” is more specific than the general occupation; a petitioner should offer details not only as to what the occupation normally involves, but what types of work the person proposes to undertake specifically within that occupation.</w:t>
      </w:r>
      <w:hyperlink r:id="rId5" w:anchor="footnote-46" w:history="1">
        <w:r w:rsidRPr="00DA4E69">
          <w:rPr>
            <w:rFonts w:ascii="Times New Roman" w:eastAsia="Times New Roman" w:hAnsi="Times New Roman" w:cs="Times New Roman"/>
            <w:b/>
            <w:bCs/>
            <w:color w:val="006699"/>
            <w:sz w:val="18"/>
            <w:szCs w:val="18"/>
            <w:u w:val="single"/>
            <w:vertAlign w:val="superscript"/>
          </w:rPr>
          <w:t>[46]</w:t>
        </w:r>
      </w:hyperlink>
      <w:r w:rsidRPr="00DA4E69">
        <w:rPr>
          <w:rFonts w:ascii="Times New Roman" w:eastAsia="Times New Roman" w:hAnsi="Times New Roman" w:cs="Times New Roman"/>
          <w:color w:val="444444"/>
          <w:sz w:val="24"/>
          <w:szCs w:val="24"/>
        </w:rPr>
        <w:t> For example, while engineering is an occupation, the explanation of the proposed endeavor should describe the specific projects and goals, or the areas of engineering in which the person will work, rather than simply listing the duties and responsibilities of an engineer.</w:t>
      </w:r>
    </w:p>
    <w:p w14:paraId="3BBD42C4"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endeavor’s merit may be demonstrated in areas including, but not limited to, business, entrepreneurship, science, technology, culture, health, or education.</w:t>
      </w:r>
    </w:p>
    <w:p w14:paraId="66B734C3"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In addition, officers may consider evidence of the endeavor’s potential significant economic impact, but “merit may be established without immediate or quantifiable economic impact” and “endeavors related to research, pure science, and the furtherance of human knowledge may qualify, whether or not the potential accomplishments in those fields are likely to translate into economic benefits for the United States.”</w:t>
      </w:r>
      <w:hyperlink r:id="rId6" w:anchor="footnote-47" w:history="1">
        <w:r w:rsidRPr="00DA4E69">
          <w:rPr>
            <w:rFonts w:ascii="Times New Roman" w:eastAsia="Times New Roman" w:hAnsi="Times New Roman" w:cs="Times New Roman"/>
            <w:b/>
            <w:bCs/>
            <w:color w:val="006699"/>
            <w:sz w:val="18"/>
            <w:szCs w:val="18"/>
            <w:u w:val="single"/>
            <w:vertAlign w:val="superscript"/>
          </w:rPr>
          <w:t>[47]</w:t>
        </w:r>
      </w:hyperlink>
    </w:p>
    <w:p w14:paraId="1D701BB2"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Officers must also examine the national importance of the specific endeavor proposed by considering its potential prospective impact. Officers should focus on the nature of the proposed endeavor, rather than only the geographic breadth of the endeavor.</w:t>
      </w:r>
      <w:hyperlink r:id="rId7" w:anchor="footnote-48" w:history="1">
        <w:r w:rsidRPr="00DA4E69">
          <w:rPr>
            <w:rFonts w:ascii="Times New Roman" w:eastAsia="Times New Roman" w:hAnsi="Times New Roman" w:cs="Times New Roman"/>
            <w:b/>
            <w:bCs/>
            <w:color w:val="006699"/>
            <w:sz w:val="18"/>
            <w:szCs w:val="18"/>
            <w:u w:val="single"/>
            <w:vertAlign w:val="superscript"/>
          </w:rPr>
          <w:t>[48]</w:t>
        </w:r>
      </w:hyperlink>
    </w:p>
    <w:p w14:paraId="70E342FE"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For example, the endeavor “may have national importance because it has national or even global implications within a particular field, such as certain improved manufacturing processes or medical advances.” Economically, it may have “significant potential to employ U.S. workers” or “other substantial positive economic effects, particularly in an economically depressed area.”</w:t>
      </w:r>
      <w:hyperlink r:id="rId8" w:anchor="footnote-49" w:history="1">
        <w:r w:rsidRPr="00DA4E69">
          <w:rPr>
            <w:rFonts w:ascii="Times New Roman" w:eastAsia="Times New Roman" w:hAnsi="Times New Roman" w:cs="Times New Roman"/>
            <w:b/>
            <w:bCs/>
            <w:color w:val="006699"/>
            <w:sz w:val="18"/>
            <w:szCs w:val="18"/>
            <w:u w:val="single"/>
            <w:vertAlign w:val="superscript"/>
          </w:rPr>
          <w:t>[49]</w:t>
        </w:r>
      </w:hyperlink>
      <w:r w:rsidRPr="00DA4E69">
        <w:rPr>
          <w:rFonts w:ascii="Times New Roman" w:eastAsia="Times New Roman" w:hAnsi="Times New Roman" w:cs="Times New Roman"/>
          <w:color w:val="444444"/>
          <w:sz w:val="24"/>
          <w:szCs w:val="24"/>
        </w:rPr>
        <w:t> Therefore, petitioners should submit a detailed description explaining the proposed endeavor and supporting documentary evidence to establish that the endeavor is of national importance.</w:t>
      </w:r>
    </w:p>
    <w:p w14:paraId="598E077A"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In determining national importance, the officer’s analysis should focus on what the beneficiary will be doing rather than the specific occupational classification. Endeavors such as classroom teaching, for example, without broader implications for a field or region, generally do not rise to the level of having national importance for the purpose of establishing eligibility for a national interest waiver.</w:t>
      </w:r>
    </w:p>
    <w:p w14:paraId="38C1C13E" w14:textId="647D402D" w:rsid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Ultimately, if the evidence of record demonstrates that the person’s proposed endeavor has the significant potential to broadly enhance societal welfare or cultural or artistic enrichment, or to contribute to the advancement of a valuable technology or field of study, it may rise to the level of national importance.</w:t>
      </w:r>
      <w:hyperlink r:id="rId9" w:anchor="footnote-50" w:history="1">
        <w:r w:rsidRPr="00DA4E69">
          <w:rPr>
            <w:rFonts w:ascii="Times New Roman" w:eastAsia="Times New Roman" w:hAnsi="Times New Roman" w:cs="Times New Roman"/>
            <w:b/>
            <w:bCs/>
            <w:color w:val="006699"/>
            <w:sz w:val="18"/>
            <w:szCs w:val="18"/>
            <w:u w:val="single"/>
            <w:vertAlign w:val="superscript"/>
          </w:rPr>
          <w:t>[50]</w:t>
        </w:r>
      </w:hyperlink>
    </w:p>
    <w:p w14:paraId="3413DBB6"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p>
    <w:p w14:paraId="7C1F2CE7" w14:textId="77777777" w:rsidR="00DA4E69" w:rsidRPr="00DA4E69" w:rsidRDefault="00DA4E69" w:rsidP="00DA4E69">
      <w:pPr>
        <w:shd w:val="clear" w:color="auto" w:fill="FFFFFF"/>
        <w:spacing w:after="240" w:line="240" w:lineRule="auto"/>
        <w:rPr>
          <w:rFonts w:ascii="Times New Roman" w:eastAsia="Times New Roman" w:hAnsi="Times New Roman" w:cs="Times New Roman"/>
          <w:b/>
          <w:bCs/>
          <w:color w:val="444444"/>
          <w:sz w:val="24"/>
          <w:szCs w:val="24"/>
        </w:rPr>
      </w:pPr>
      <w:r w:rsidRPr="00DA4E69">
        <w:rPr>
          <w:rFonts w:ascii="Times New Roman" w:eastAsia="Times New Roman" w:hAnsi="Times New Roman" w:cs="Times New Roman"/>
          <w:b/>
          <w:bCs/>
          <w:i/>
          <w:iCs/>
          <w:color w:val="444444"/>
          <w:sz w:val="24"/>
          <w:szCs w:val="24"/>
        </w:rPr>
        <w:lastRenderedPageBreak/>
        <w:t>Second Prong: The Person is Well Positioned to Advance the Proposed Endeavor</w:t>
      </w:r>
    </w:p>
    <w:p w14:paraId="530AA1C3"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Unlike the first prong, which focuses on the merit and importance of the proposed endeavor, the second prong centers on the person. Specifically, the petitioner must demonstrate that the person is well positioned to advance the endeavor.</w:t>
      </w:r>
    </w:p>
    <w:p w14:paraId="59EC9BD1"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In evaluating whether the person is well positioned to advance the endeavor, USCIS considers factors</w:t>
      </w:r>
      <w:hyperlink r:id="rId10" w:anchor="footnote-51" w:history="1">
        <w:r w:rsidRPr="00DA4E69">
          <w:rPr>
            <w:rFonts w:ascii="Times New Roman" w:eastAsia="Times New Roman" w:hAnsi="Times New Roman" w:cs="Times New Roman"/>
            <w:b/>
            <w:bCs/>
            <w:color w:val="006699"/>
            <w:sz w:val="18"/>
            <w:szCs w:val="18"/>
            <w:u w:val="single"/>
            <w:vertAlign w:val="superscript"/>
          </w:rPr>
          <w:t>[51]</w:t>
        </w:r>
      </w:hyperlink>
      <w:r w:rsidRPr="00DA4E69">
        <w:rPr>
          <w:rFonts w:ascii="Times New Roman" w:eastAsia="Times New Roman" w:hAnsi="Times New Roman" w:cs="Times New Roman"/>
          <w:color w:val="444444"/>
          <w:sz w:val="24"/>
          <w:szCs w:val="24"/>
        </w:rPr>
        <w:t> including, but not limited to:</w:t>
      </w:r>
    </w:p>
    <w:p w14:paraId="652282EE" w14:textId="77777777" w:rsidR="00DA4E69" w:rsidRPr="00DA4E69" w:rsidRDefault="00DA4E69" w:rsidP="00DA4E69">
      <w:pPr>
        <w:numPr>
          <w:ilvl w:val="0"/>
          <w:numId w:val="1"/>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person’s education, skills, knowledge, and record of success in related or similar efforts;</w:t>
      </w:r>
    </w:p>
    <w:p w14:paraId="7805D4C6" w14:textId="77777777" w:rsidR="00DA4E69" w:rsidRPr="00DA4E69" w:rsidRDefault="00DA4E69" w:rsidP="00DA4E69">
      <w:pPr>
        <w:numPr>
          <w:ilvl w:val="0"/>
          <w:numId w:val="1"/>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A model or plan that the person developed, or played a significant role in developing, for future activities related to the proposed endeavor;</w:t>
      </w:r>
    </w:p>
    <w:p w14:paraId="12C0BADA" w14:textId="77777777" w:rsidR="00DA4E69" w:rsidRPr="00DA4E69" w:rsidRDefault="00DA4E69" w:rsidP="00DA4E69">
      <w:pPr>
        <w:numPr>
          <w:ilvl w:val="0"/>
          <w:numId w:val="1"/>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Any progress towards achieving the proposed endeavor; and</w:t>
      </w:r>
    </w:p>
    <w:p w14:paraId="06CCE7AF" w14:textId="77777777" w:rsidR="00DA4E69" w:rsidRPr="00DA4E69" w:rsidRDefault="00DA4E69" w:rsidP="00DA4E69">
      <w:pPr>
        <w:numPr>
          <w:ilvl w:val="0"/>
          <w:numId w:val="1"/>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interest or support garnered by the person from potential customers, users, investors, or other relevant entities or persons.</w:t>
      </w:r>
    </w:p>
    <w:p w14:paraId="7DE0D7AC"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petitioner should submit evidence to document the person’s past achievements and corroborate projections related to the proposed endeavor to show that the person is well-positioned to advance the endeavor. A person may be well-positioned to advance an endeavor even if the person cannot demonstrate that the proposed endeavor is more likely than not to ultimately succeed.</w:t>
      </w:r>
      <w:hyperlink r:id="rId11" w:anchor="footnote-52" w:history="1">
        <w:r w:rsidRPr="00DA4E69">
          <w:rPr>
            <w:rFonts w:ascii="Times New Roman" w:eastAsia="Times New Roman" w:hAnsi="Times New Roman" w:cs="Times New Roman"/>
            <w:b/>
            <w:bCs/>
            <w:color w:val="006699"/>
            <w:sz w:val="18"/>
            <w:szCs w:val="18"/>
            <w:u w:val="single"/>
            <w:vertAlign w:val="superscript"/>
          </w:rPr>
          <w:t>[52]</w:t>
        </w:r>
      </w:hyperlink>
      <w:r w:rsidRPr="00DA4E69">
        <w:rPr>
          <w:rFonts w:ascii="Times New Roman" w:eastAsia="Times New Roman" w:hAnsi="Times New Roman" w:cs="Times New Roman"/>
          <w:color w:val="444444"/>
          <w:sz w:val="24"/>
          <w:szCs w:val="24"/>
        </w:rPr>
        <w:t> However, unsubstantiated or implausible claims would not meet the petitioner’s burden of proof.</w:t>
      </w:r>
    </w:p>
    <w:p w14:paraId="35BEDD0B"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Below is a non-exhaustive list of the types of evidence that tend to show that the person is well positioned to advance a proposed endeavor. This list is not meant to be a checklist or to indicate that any one type of evidence is either required or sufficient to establish eligibility.</w:t>
      </w:r>
    </w:p>
    <w:p w14:paraId="7632B6B3"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Evidence that may demonstrate that the person is well-positioned to advance a proposed endeavor includes, but is not limited to:</w:t>
      </w:r>
    </w:p>
    <w:p w14:paraId="1297EAB7"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Degrees, certificates, or licenses in the field;</w:t>
      </w:r>
    </w:p>
    <w:p w14:paraId="6914215B"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Patents, trademarks, or copyrights developed by the person;</w:t>
      </w:r>
    </w:p>
    <w:p w14:paraId="445086B6"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Letters from experts in the person’s field, describing the person’s past achievements and providing specific examples of how the person is well positioned to advance the person’s endeavor;</w:t>
      </w:r>
    </w:p>
    <w:p w14:paraId="604CC81C"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Published articles or media reports about the person’s achievements or current work;</w:t>
      </w:r>
    </w:p>
    <w:p w14:paraId="7CA5CBC3"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Documentation demonstrating a strong citation history of the person’s work or excerpts of published articles showing positive discourse around, or adoption of, the person’s work;</w:t>
      </w:r>
    </w:p>
    <w:p w14:paraId="7F86DFC3"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Evidence that the person’s work has influenced the field of endeavor;</w:t>
      </w:r>
    </w:p>
    <w:p w14:paraId="744339A4"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A plan describing how the person intends to continue the proposed work in the United States;</w:t>
      </w:r>
      <w:hyperlink r:id="rId12" w:anchor="footnote-53" w:history="1">
        <w:r w:rsidRPr="00DA4E69">
          <w:rPr>
            <w:rFonts w:ascii="Times New Roman" w:eastAsia="Times New Roman" w:hAnsi="Times New Roman" w:cs="Times New Roman"/>
            <w:b/>
            <w:bCs/>
            <w:color w:val="006699"/>
            <w:sz w:val="18"/>
            <w:szCs w:val="18"/>
            <w:u w:val="single"/>
            <w:vertAlign w:val="superscript"/>
          </w:rPr>
          <w:t>[53]</w:t>
        </w:r>
      </w:hyperlink>
    </w:p>
    <w:p w14:paraId="520747E1"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lastRenderedPageBreak/>
        <w:t>A detailed business plan or other description, along with any relevant supporting evidence, when appropriate;</w:t>
      </w:r>
    </w:p>
    <w:p w14:paraId="7C5D73F4"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Correspondence from prospective or potential employers, clients, or customers;</w:t>
      </w:r>
    </w:p>
    <w:p w14:paraId="28364317"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Documentation reflecting feasible plans for financial support (see below for a more detailed discussion of evidence related to financing for entrepreneurs);</w:t>
      </w:r>
      <w:hyperlink r:id="rId13" w:anchor="footnote-54" w:history="1">
        <w:r w:rsidRPr="00DA4E69">
          <w:rPr>
            <w:rFonts w:ascii="Times New Roman" w:eastAsia="Times New Roman" w:hAnsi="Times New Roman" w:cs="Times New Roman"/>
            <w:b/>
            <w:bCs/>
            <w:color w:val="006699"/>
            <w:sz w:val="18"/>
            <w:szCs w:val="18"/>
            <w:u w:val="single"/>
            <w:vertAlign w:val="superscript"/>
          </w:rPr>
          <w:t>[54]</w:t>
        </w:r>
      </w:hyperlink>
    </w:p>
    <w:p w14:paraId="44B88F1D"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Evidence that the person has received investment from U.S. investors, such as venture capital firms, angel investors, or start-up accelerators, and that the amounts are appropriate to the relevant endeavor;</w:t>
      </w:r>
    </w:p>
    <w:p w14:paraId="7757297E"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Copies of contracts, agreements, or licenses showing the potential impact of the proposed endeavor;</w:t>
      </w:r>
    </w:p>
    <w:p w14:paraId="65DFBE6F"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Letters from government agencies or quasi-governmental entities in the United States demonstrating that the person is well positioned to advance the proposed endeavor (see below for a more detailed discussion of supporting evidence from interested government agencies and quasi-governmental entities);</w:t>
      </w:r>
      <w:hyperlink r:id="rId14" w:anchor="footnote-55" w:history="1">
        <w:r w:rsidRPr="00DA4E69">
          <w:rPr>
            <w:rFonts w:ascii="Times New Roman" w:eastAsia="Times New Roman" w:hAnsi="Times New Roman" w:cs="Times New Roman"/>
            <w:b/>
            <w:bCs/>
            <w:color w:val="006699"/>
            <w:sz w:val="18"/>
            <w:szCs w:val="18"/>
            <w:u w:val="single"/>
            <w:vertAlign w:val="superscript"/>
          </w:rPr>
          <w:t>[55]</w:t>
        </w:r>
      </w:hyperlink>
    </w:p>
    <w:p w14:paraId="5399854F"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Evidence that the person has received awards or grants or other indications of relevant non-monetary support (for example, using facilities free of charge) from federal, state, or local government entities with expertise in economic development, research and development, or job creation; and</w:t>
      </w:r>
    </w:p>
    <w:p w14:paraId="439C1180" w14:textId="77777777" w:rsidR="00DA4E69" w:rsidRPr="00DA4E69" w:rsidRDefault="00DA4E69" w:rsidP="00DA4E69">
      <w:pPr>
        <w:numPr>
          <w:ilvl w:val="0"/>
          <w:numId w:val="2"/>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Evidence demonstrating how the person’s work is being used by others, such as, but not limited to:</w:t>
      </w:r>
    </w:p>
    <w:p w14:paraId="55582142" w14:textId="77777777" w:rsidR="00DA4E69" w:rsidRPr="00DA4E69" w:rsidRDefault="00DA4E69" w:rsidP="00DA4E69">
      <w:pPr>
        <w:numPr>
          <w:ilvl w:val="1"/>
          <w:numId w:val="2"/>
        </w:numPr>
        <w:shd w:val="clear" w:color="auto" w:fill="FFFFFF"/>
        <w:spacing w:before="100" w:beforeAutospacing="1" w:after="120" w:line="240" w:lineRule="auto"/>
        <w:ind w:left="192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Contracts with companies using products that the person developed or assisted in developing;</w:t>
      </w:r>
    </w:p>
    <w:p w14:paraId="3100BEF0" w14:textId="77777777" w:rsidR="00DA4E69" w:rsidRPr="00DA4E69" w:rsidRDefault="00DA4E69" w:rsidP="00DA4E69">
      <w:pPr>
        <w:numPr>
          <w:ilvl w:val="1"/>
          <w:numId w:val="2"/>
        </w:numPr>
        <w:shd w:val="clear" w:color="auto" w:fill="FFFFFF"/>
        <w:spacing w:before="100" w:beforeAutospacing="1" w:after="120" w:line="240" w:lineRule="auto"/>
        <w:ind w:left="192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Documents showing technology that the person invented, or contributed to inventing, and how others use that technology; and</w:t>
      </w:r>
    </w:p>
    <w:p w14:paraId="04A9CE7D" w14:textId="77777777" w:rsidR="00DA4E69" w:rsidRPr="00DA4E69" w:rsidRDefault="00DA4E69" w:rsidP="00DA4E69">
      <w:pPr>
        <w:numPr>
          <w:ilvl w:val="1"/>
          <w:numId w:val="2"/>
        </w:numPr>
        <w:shd w:val="clear" w:color="auto" w:fill="FFFFFF"/>
        <w:spacing w:before="100" w:beforeAutospacing="1" w:after="120" w:line="240" w:lineRule="auto"/>
        <w:ind w:left="192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Patents or licenses for innovations the person developed with documentation showing why the patent or license is significant to the field.</w:t>
      </w:r>
    </w:p>
    <w:p w14:paraId="016347F6"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In each case, officers must consider the totality of circumstances to determine whether the preponderance of evidence establishes that the person is well positioned to advance the proposed endeavor.</w:t>
      </w:r>
    </w:p>
    <w:p w14:paraId="58CC64D5" w14:textId="77777777" w:rsidR="00DA4E69" w:rsidRPr="00DA4E69" w:rsidRDefault="00DA4E69" w:rsidP="00DA4E69">
      <w:pPr>
        <w:shd w:val="clear" w:color="auto" w:fill="FFFFFF"/>
        <w:spacing w:after="240" w:line="240" w:lineRule="auto"/>
        <w:rPr>
          <w:rFonts w:ascii="Times New Roman" w:eastAsia="Times New Roman" w:hAnsi="Times New Roman" w:cs="Times New Roman"/>
          <w:b/>
          <w:bCs/>
          <w:color w:val="444444"/>
          <w:sz w:val="24"/>
          <w:szCs w:val="24"/>
        </w:rPr>
      </w:pPr>
      <w:r w:rsidRPr="00DA4E69">
        <w:rPr>
          <w:rFonts w:ascii="Times New Roman" w:eastAsia="Times New Roman" w:hAnsi="Times New Roman" w:cs="Times New Roman"/>
          <w:b/>
          <w:bCs/>
          <w:i/>
          <w:iCs/>
          <w:color w:val="444444"/>
          <w:sz w:val="24"/>
          <w:szCs w:val="24"/>
        </w:rPr>
        <w:t>Third Prong: On balance, it would be beneficial to the United States to waive the job offer and thus the permanent labor certification requirements</w:t>
      </w:r>
    </w:p>
    <w:p w14:paraId="34452FA0"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Once officers have determined that the petitioner met the first two prongs, they proceed with the analysis of the third prong. This last prong requires the petitioner to demonstrate that the factors in favor of granting the waiver outweigh those that support the requirement of a job offer and thus a labor certification, which is intended to ensure that the admission of foreign workers will not adversely affect the job opportunities, wages, and working conditions of U.S. workers.</w:t>
      </w:r>
      <w:hyperlink r:id="rId15" w:anchor="footnote-56" w:history="1">
        <w:r w:rsidRPr="00DA4E69">
          <w:rPr>
            <w:rFonts w:ascii="Times New Roman" w:eastAsia="Times New Roman" w:hAnsi="Times New Roman" w:cs="Times New Roman"/>
            <w:b/>
            <w:bCs/>
            <w:color w:val="006699"/>
            <w:sz w:val="18"/>
            <w:szCs w:val="18"/>
            <w:u w:val="single"/>
            <w:vertAlign w:val="superscript"/>
          </w:rPr>
          <w:t>[56]</w:t>
        </w:r>
      </w:hyperlink>
    </w:p>
    <w:p w14:paraId="5D40CFCF"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 xml:space="preserve">While Congress sought to further the national interest by requiring job offers and labor certifications to protect U.S. workers, Congress also recognized that in certain instances the national interest is better served by a waiver of the job offer and thus the labor certification </w:t>
      </w:r>
      <w:r w:rsidRPr="00DA4E69">
        <w:rPr>
          <w:rFonts w:ascii="Times New Roman" w:eastAsia="Times New Roman" w:hAnsi="Times New Roman" w:cs="Times New Roman"/>
          <w:color w:val="444444"/>
          <w:sz w:val="24"/>
          <w:szCs w:val="24"/>
        </w:rPr>
        <w:lastRenderedPageBreak/>
        <w:t>requirement. In such cases, a national interest waiver outweighs the benefits inherent to the labor certification process, which primarily focuses on a geographically limited labor market. Within the context of national interest waiver adjudications, Congress entrusted the Secretary of Homeland Security to balance this interest.</w:t>
      </w:r>
    </w:p>
    <w:p w14:paraId="1A712B5E"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Therefore, for the third prong, an officer assesses whether the person’s endeavor and the person being well-positioned to advance that endeavor, taken together, provide benefits to the nation such that a waiver of the labor certification requirement outweighs the benefits that ordinarily flow from that requirement. For example, in the case of an entrepreneur, where the person is self-employed in a manner that generally does not adversely affect U.S. workers,</w:t>
      </w:r>
      <w:hyperlink r:id="rId16" w:anchor="footnote-57" w:history="1">
        <w:r w:rsidRPr="00DA4E69">
          <w:rPr>
            <w:rFonts w:ascii="Times New Roman" w:eastAsia="Times New Roman" w:hAnsi="Times New Roman" w:cs="Times New Roman"/>
            <w:b/>
            <w:bCs/>
            <w:color w:val="006699"/>
            <w:sz w:val="18"/>
            <w:szCs w:val="18"/>
            <w:u w:val="single"/>
            <w:vertAlign w:val="superscript"/>
          </w:rPr>
          <w:t>[57]</w:t>
        </w:r>
      </w:hyperlink>
      <w:r w:rsidRPr="00DA4E69">
        <w:rPr>
          <w:rFonts w:ascii="Times New Roman" w:eastAsia="Times New Roman" w:hAnsi="Times New Roman" w:cs="Times New Roman"/>
          <w:color w:val="444444"/>
          <w:sz w:val="24"/>
          <w:szCs w:val="24"/>
        </w:rPr>
        <w:t> or where the petitioner establishes or owns a business that provides jobs for U.S. workers, there may be little benefit from the labor certification.</w:t>
      </w:r>
    </w:p>
    <w:p w14:paraId="02996F99"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Therefore, in establishing eligibility for the third prong, petitioners may submit evidence relating to one or more of the following factors, as outlined in </w:t>
      </w:r>
      <w:hyperlink r:id="rId17" w:history="1">
        <w:r w:rsidRPr="00DA4E69">
          <w:rPr>
            <w:rFonts w:ascii="Times New Roman" w:eastAsia="Times New Roman" w:hAnsi="Times New Roman" w:cs="Times New Roman"/>
            <w:i/>
            <w:iCs/>
            <w:color w:val="006699"/>
            <w:sz w:val="24"/>
            <w:szCs w:val="24"/>
          </w:rPr>
          <w:t xml:space="preserve">Matter of </w:t>
        </w:r>
        <w:proofErr w:type="spellStart"/>
        <w:r w:rsidRPr="00DA4E69">
          <w:rPr>
            <w:rFonts w:ascii="Times New Roman" w:eastAsia="Times New Roman" w:hAnsi="Times New Roman" w:cs="Times New Roman"/>
            <w:i/>
            <w:iCs/>
            <w:color w:val="006699"/>
            <w:sz w:val="24"/>
            <w:szCs w:val="24"/>
          </w:rPr>
          <w:t>Dhanasar</w:t>
        </w:r>
        <w:proofErr w:type="spellEnd"/>
      </w:hyperlink>
      <w:r w:rsidRPr="00DA4E69">
        <w:rPr>
          <w:rFonts w:ascii="Times New Roman" w:eastAsia="Times New Roman" w:hAnsi="Times New Roman" w:cs="Times New Roman"/>
          <w:color w:val="444444"/>
          <w:sz w:val="24"/>
          <w:szCs w:val="24"/>
        </w:rPr>
        <w:t>:</w:t>
      </w:r>
    </w:p>
    <w:p w14:paraId="535AE7C5" w14:textId="77777777" w:rsidR="00DA4E69" w:rsidRPr="00DA4E69" w:rsidRDefault="00DA4E69" w:rsidP="00DA4E69">
      <w:pPr>
        <w:numPr>
          <w:ilvl w:val="0"/>
          <w:numId w:val="3"/>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impracticality of a labor certification application;</w:t>
      </w:r>
      <w:hyperlink r:id="rId18" w:anchor="footnote-58" w:history="1">
        <w:r w:rsidRPr="00DA4E69">
          <w:rPr>
            <w:rFonts w:ascii="Times New Roman" w:eastAsia="Times New Roman" w:hAnsi="Times New Roman" w:cs="Times New Roman"/>
            <w:b/>
            <w:bCs/>
            <w:color w:val="006699"/>
            <w:sz w:val="18"/>
            <w:szCs w:val="18"/>
            <w:u w:val="single"/>
            <w:vertAlign w:val="superscript"/>
          </w:rPr>
          <w:t>[58]</w:t>
        </w:r>
      </w:hyperlink>
    </w:p>
    <w:p w14:paraId="617A4A55" w14:textId="77777777" w:rsidR="00DA4E69" w:rsidRPr="00DA4E69" w:rsidRDefault="00DA4E69" w:rsidP="00DA4E69">
      <w:pPr>
        <w:numPr>
          <w:ilvl w:val="0"/>
          <w:numId w:val="3"/>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benefit to the United States from the prospective </w:t>
      </w:r>
      <w:hyperlink r:id="rId19" w:history="1">
        <w:r w:rsidRPr="00DA4E69">
          <w:rPr>
            <w:rFonts w:ascii="Times New Roman" w:eastAsia="Times New Roman" w:hAnsi="Times New Roman" w:cs="Times New Roman"/>
            <w:color w:val="006699"/>
            <w:sz w:val="24"/>
            <w:szCs w:val="24"/>
            <w:u w:val="single"/>
          </w:rPr>
          <w:t>noncitizen’s</w:t>
        </w:r>
      </w:hyperlink>
      <w:r w:rsidRPr="00DA4E69">
        <w:rPr>
          <w:rFonts w:ascii="Times New Roman" w:eastAsia="Times New Roman" w:hAnsi="Times New Roman" w:cs="Times New Roman"/>
          <w:color w:val="444444"/>
          <w:sz w:val="24"/>
          <w:szCs w:val="24"/>
        </w:rPr>
        <w:t> contributions, even if other U.S. workers were also available;</w:t>
      </w:r>
      <w:hyperlink r:id="rId20" w:anchor="footnote-59" w:history="1">
        <w:r w:rsidRPr="00DA4E69">
          <w:rPr>
            <w:rFonts w:ascii="Times New Roman" w:eastAsia="Times New Roman" w:hAnsi="Times New Roman" w:cs="Times New Roman"/>
            <w:b/>
            <w:bCs/>
            <w:color w:val="006699"/>
            <w:sz w:val="18"/>
            <w:szCs w:val="18"/>
            <w:u w:val="single"/>
            <w:vertAlign w:val="superscript"/>
          </w:rPr>
          <w:t>[59]</w:t>
        </w:r>
      </w:hyperlink>
      <w:r w:rsidRPr="00DA4E69">
        <w:rPr>
          <w:rFonts w:ascii="Times New Roman" w:eastAsia="Times New Roman" w:hAnsi="Times New Roman" w:cs="Times New Roman"/>
          <w:color w:val="444444"/>
          <w:sz w:val="24"/>
          <w:szCs w:val="24"/>
        </w:rPr>
        <w:t> and</w:t>
      </w:r>
    </w:p>
    <w:p w14:paraId="2B828096" w14:textId="77777777" w:rsidR="00DA4E69" w:rsidRPr="00DA4E69" w:rsidRDefault="00DA4E69" w:rsidP="00DA4E69">
      <w:pPr>
        <w:numPr>
          <w:ilvl w:val="0"/>
          <w:numId w:val="3"/>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The national interest in the person’s contributions is sufficiently urgent,</w:t>
      </w:r>
      <w:hyperlink r:id="rId21" w:anchor="footnote-60" w:history="1">
        <w:r w:rsidRPr="00DA4E69">
          <w:rPr>
            <w:rFonts w:ascii="Times New Roman" w:eastAsia="Times New Roman" w:hAnsi="Times New Roman" w:cs="Times New Roman"/>
            <w:b/>
            <w:bCs/>
            <w:color w:val="006699"/>
            <w:sz w:val="18"/>
            <w:szCs w:val="18"/>
            <w:u w:val="single"/>
            <w:vertAlign w:val="superscript"/>
          </w:rPr>
          <w:t>[60]</w:t>
        </w:r>
      </w:hyperlink>
      <w:r w:rsidRPr="00DA4E69">
        <w:rPr>
          <w:rFonts w:ascii="Times New Roman" w:eastAsia="Times New Roman" w:hAnsi="Times New Roman" w:cs="Times New Roman"/>
          <w:color w:val="444444"/>
          <w:sz w:val="24"/>
          <w:szCs w:val="24"/>
        </w:rPr>
        <w:t> such as U.S. competitiveness in STEM fields.</w:t>
      </w:r>
    </w:p>
    <w:p w14:paraId="488BCEF0" w14:textId="77777777" w:rsidR="00DA4E69" w:rsidRPr="00DA4E69" w:rsidRDefault="00DA4E69" w:rsidP="00DA4E69">
      <w:pPr>
        <w:shd w:val="clear" w:color="auto" w:fill="FFFFFF"/>
        <w:spacing w:after="240" w:line="240" w:lineRule="auto"/>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More specific considerations may include:</w:t>
      </w:r>
    </w:p>
    <w:p w14:paraId="368E9BDD" w14:textId="77777777" w:rsidR="00DA4E69" w:rsidRPr="00DA4E69" w:rsidRDefault="00DA4E69" w:rsidP="00DA4E69">
      <w:pPr>
        <w:numPr>
          <w:ilvl w:val="0"/>
          <w:numId w:val="4"/>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Whether urgency, such as public health or safety, warrants foregoing the labor certification process;</w:t>
      </w:r>
    </w:p>
    <w:p w14:paraId="17FE3C7D" w14:textId="77777777" w:rsidR="00DA4E69" w:rsidRPr="00DA4E69" w:rsidRDefault="00DA4E69" w:rsidP="00DA4E69">
      <w:pPr>
        <w:numPr>
          <w:ilvl w:val="0"/>
          <w:numId w:val="4"/>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Whether the labor certification process may prevent an employer from hiring a person with unique knowledge or skills exceeding the minimum requirements standard for that occupation,</w:t>
      </w:r>
      <w:hyperlink r:id="rId22" w:anchor="footnote-61" w:history="1">
        <w:r w:rsidRPr="00DA4E69">
          <w:rPr>
            <w:rFonts w:ascii="Times New Roman" w:eastAsia="Times New Roman" w:hAnsi="Times New Roman" w:cs="Times New Roman"/>
            <w:b/>
            <w:bCs/>
            <w:color w:val="006699"/>
            <w:sz w:val="18"/>
            <w:szCs w:val="18"/>
            <w:u w:val="single"/>
            <w:vertAlign w:val="superscript"/>
          </w:rPr>
          <w:t>[61]</w:t>
        </w:r>
      </w:hyperlink>
      <w:r w:rsidRPr="00DA4E69">
        <w:rPr>
          <w:rFonts w:ascii="Times New Roman" w:eastAsia="Times New Roman" w:hAnsi="Times New Roman" w:cs="Times New Roman"/>
          <w:color w:val="444444"/>
          <w:sz w:val="24"/>
          <w:szCs w:val="24"/>
        </w:rPr>
        <w:t> which cannot be appropriately captured by the labor certification;</w:t>
      </w:r>
      <w:hyperlink r:id="rId23" w:anchor="footnote-62" w:history="1">
        <w:r w:rsidRPr="00DA4E69">
          <w:rPr>
            <w:rFonts w:ascii="Times New Roman" w:eastAsia="Times New Roman" w:hAnsi="Times New Roman" w:cs="Times New Roman"/>
            <w:b/>
            <w:bCs/>
            <w:color w:val="006699"/>
            <w:sz w:val="18"/>
            <w:szCs w:val="18"/>
            <w:u w:val="single"/>
            <w:vertAlign w:val="superscript"/>
          </w:rPr>
          <w:t>[62]</w:t>
        </w:r>
      </w:hyperlink>
    </w:p>
    <w:p w14:paraId="0F633AAA" w14:textId="77777777" w:rsidR="00DA4E69" w:rsidRPr="00DA4E69" w:rsidRDefault="00DA4E69" w:rsidP="00DA4E69">
      <w:pPr>
        <w:numPr>
          <w:ilvl w:val="0"/>
          <w:numId w:val="4"/>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Whether the person’s endeavor has the potential to generate considerable revenue consistent, for example, with economic revitalization; and</w:t>
      </w:r>
      <w:hyperlink r:id="rId24" w:anchor="footnote-63" w:history="1">
        <w:r w:rsidRPr="00DA4E69">
          <w:rPr>
            <w:rFonts w:ascii="Times New Roman" w:eastAsia="Times New Roman" w:hAnsi="Times New Roman" w:cs="Times New Roman"/>
            <w:b/>
            <w:bCs/>
            <w:color w:val="006699"/>
            <w:sz w:val="18"/>
            <w:szCs w:val="18"/>
            <w:u w:val="single"/>
            <w:vertAlign w:val="superscript"/>
          </w:rPr>
          <w:t>[63]</w:t>
        </w:r>
      </w:hyperlink>
    </w:p>
    <w:p w14:paraId="6CCE4886" w14:textId="77777777" w:rsidR="00DA4E69" w:rsidRPr="00DA4E69" w:rsidRDefault="00DA4E69" w:rsidP="00DA4E69">
      <w:pPr>
        <w:numPr>
          <w:ilvl w:val="0"/>
          <w:numId w:val="4"/>
        </w:numPr>
        <w:shd w:val="clear" w:color="auto" w:fill="FFFFFF"/>
        <w:spacing w:before="100" w:beforeAutospacing="1" w:after="120" w:line="240" w:lineRule="auto"/>
        <w:ind w:left="1080"/>
        <w:rPr>
          <w:rFonts w:ascii="Times New Roman" w:eastAsia="Times New Roman" w:hAnsi="Times New Roman" w:cs="Times New Roman"/>
          <w:color w:val="444444"/>
          <w:sz w:val="24"/>
          <w:szCs w:val="24"/>
        </w:rPr>
      </w:pPr>
      <w:r w:rsidRPr="00DA4E69">
        <w:rPr>
          <w:rFonts w:ascii="Times New Roman" w:eastAsia="Times New Roman" w:hAnsi="Times New Roman" w:cs="Times New Roman"/>
          <w:color w:val="444444"/>
          <w:sz w:val="24"/>
          <w:szCs w:val="24"/>
        </w:rPr>
        <w:t>Whether the person’s endeavor may lead to potential job creation.</w:t>
      </w:r>
    </w:p>
    <w:p w14:paraId="50C8BE6F" w14:textId="77777777" w:rsidR="00DA4E69" w:rsidRPr="00DA4E69" w:rsidRDefault="00DA4E69">
      <w:pPr>
        <w:rPr>
          <w:rFonts w:ascii="Times New Roman" w:hAnsi="Times New Roman" w:cs="Times New Roman"/>
        </w:rPr>
      </w:pPr>
    </w:p>
    <w:sectPr w:rsidR="00DA4E69" w:rsidRPr="00DA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47DC1"/>
    <w:multiLevelType w:val="multilevel"/>
    <w:tmpl w:val="3AC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E7B59"/>
    <w:multiLevelType w:val="multilevel"/>
    <w:tmpl w:val="BAA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109D0"/>
    <w:multiLevelType w:val="multilevel"/>
    <w:tmpl w:val="2B68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C545AC"/>
    <w:multiLevelType w:val="multilevel"/>
    <w:tmpl w:val="13F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69"/>
    <w:rsid w:val="00DA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F582"/>
  <w15:chartTrackingRefBased/>
  <w15:docId w15:val="{FDBE764F-A899-4CB4-8131-440C5F77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A4E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4E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4E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4E69"/>
    <w:rPr>
      <w:i/>
      <w:iCs/>
    </w:rPr>
  </w:style>
  <w:style w:type="character" w:styleId="Hyperlink">
    <w:name w:val="Hyperlink"/>
    <w:basedOn w:val="DefaultParagraphFont"/>
    <w:uiPriority w:val="99"/>
    <w:semiHidden/>
    <w:unhideWhenUsed/>
    <w:rsid w:val="00DA4E69"/>
    <w:rPr>
      <w:color w:val="0000FF"/>
      <w:u w:val="single"/>
    </w:rPr>
  </w:style>
  <w:style w:type="character" w:styleId="Strong">
    <w:name w:val="Strong"/>
    <w:basedOn w:val="DefaultParagraphFont"/>
    <w:uiPriority w:val="22"/>
    <w:qFormat/>
    <w:rsid w:val="00DA4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5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policy-manual/volume-6-part-f-chapter-5" TargetMode="External"/><Relationship Id="rId13" Type="http://schemas.openxmlformats.org/officeDocument/2006/relationships/hyperlink" Target="https://www.uscis.gov/policy-manual/volume-6-part-f-chapter-5" TargetMode="External"/><Relationship Id="rId18" Type="http://schemas.openxmlformats.org/officeDocument/2006/relationships/hyperlink" Target="https://www.uscis.gov/policy-manual/volume-6-part-f-chapter-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scis.gov/policy-manual/volume-6-part-f-chapter-5" TargetMode="External"/><Relationship Id="rId7" Type="http://schemas.openxmlformats.org/officeDocument/2006/relationships/hyperlink" Target="https://www.uscis.gov/policy-manual/volume-6-part-f-chapter-5" TargetMode="External"/><Relationship Id="rId12" Type="http://schemas.openxmlformats.org/officeDocument/2006/relationships/hyperlink" Target="https://www.uscis.gov/policy-manual/volume-6-part-f-chapter-5" TargetMode="External"/><Relationship Id="rId17" Type="http://schemas.openxmlformats.org/officeDocument/2006/relationships/hyperlink" Target="https://www.justice.gov/eoir/page/file/920996/downloa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scis.gov/policy-manual/volume-6-part-f-chapter-5" TargetMode="External"/><Relationship Id="rId20" Type="http://schemas.openxmlformats.org/officeDocument/2006/relationships/hyperlink" Target="https://www.uscis.gov/policy-manual/volume-6-part-f-chapter-5" TargetMode="External"/><Relationship Id="rId1" Type="http://schemas.openxmlformats.org/officeDocument/2006/relationships/numbering" Target="numbering.xml"/><Relationship Id="rId6" Type="http://schemas.openxmlformats.org/officeDocument/2006/relationships/hyperlink" Target="https://www.uscis.gov/policy-manual/volume-6-part-f-chapter-5" TargetMode="External"/><Relationship Id="rId11" Type="http://schemas.openxmlformats.org/officeDocument/2006/relationships/hyperlink" Target="https://www.uscis.gov/policy-manual/volume-6-part-f-chapter-5" TargetMode="External"/><Relationship Id="rId24" Type="http://schemas.openxmlformats.org/officeDocument/2006/relationships/hyperlink" Target="https://www.uscis.gov/policy-manual/volume-6-part-f-chapter-5" TargetMode="External"/><Relationship Id="rId5" Type="http://schemas.openxmlformats.org/officeDocument/2006/relationships/hyperlink" Target="https://www.uscis.gov/policy-manual/volume-6-part-f-chapter-5" TargetMode="External"/><Relationship Id="rId15" Type="http://schemas.openxmlformats.org/officeDocument/2006/relationships/hyperlink" Target="https://www.uscis.gov/policy-manual/volume-6-part-f-chapter-5" TargetMode="External"/><Relationship Id="rId23" Type="http://schemas.openxmlformats.org/officeDocument/2006/relationships/hyperlink" Target="https://www.uscis.gov/policy-manual/volume-6-part-f-chapter-5" TargetMode="External"/><Relationship Id="rId10" Type="http://schemas.openxmlformats.org/officeDocument/2006/relationships/hyperlink" Target="https://www.uscis.gov/policy-manual/volume-6-part-f-chapter-5" TargetMode="External"/><Relationship Id="rId19" Type="http://schemas.openxmlformats.org/officeDocument/2006/relationships/hyperlink" Target="https://www.uscis.gov/glossary-term/92167" TargetMode="External"/><Relationship Id="rId4" Type="http://schemas.openxmlformats.org/officeDocument/2006/relationships/webSettings" Target="webSettings.xml"/><Relationship Id="rId9" Type="http://schemas.openxmlformats.org/officeDocument/2006/relationships/hyperlink" Target="https://www.uscis.gov/policy-manual/volume-6-part-f-chapter-5" TargetMode="External"/><Relationship Id="rId14" Type="http://schemas.openxmlformats.org/officeDocument/2006/relationships/hyperlink" Target="https://www.uscis.gov/policy-manual/volume-6-part-f-chapter-5" TargetMode="External"/><Relationship Id="rId22" Type="http://schemas.openxmlformats.org/officeDocument/2006/relationships/hyperlink" Target="https://www.uscis.gov/policy-manual/volume-6-part-f-chapter-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1838</Words>
  <Characters>10479</Characters>
  <Application>Microsoft Office Word</Application>
  <DocSecurity>0</DocSecurity>
  <Lines>87</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Nowamagbe</dc:creator>
  <cp:keywords/>
  <dc:description/>
  <cp:lastModifiedBy>Precious Nowamagbe</cp:lastModifiedBy>
  <cp:revision>1</cp:revision>
  <dcterms:created xsi:type="dcterms:W3CDTF">2025-02-02T00:42:00Z</dcterms:created>
  <dcterms:modified xsi:type="dcterms:W3CDTF">2025-02-02T00:57:00Z</dcterms:modified>
</cp:coreProperties>
</file>